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232DC">
      <w:pPr>
        <w:spacing w:line="560" w:lineRule="exact"/>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项目属性：货物类项目</w:t>
      </w:r>
    </w:p>
    <w:p w14:paraId="4D26E899">
      <w:pPr>
        <w:spacing w:line="560" w:lineRule="exact"/>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本项目采购标的对应的中小企业划分标准所属行业：</w:t>
      </w:r>
      <w:r>
        <w:rPr>
          <w:rFonts w:hint="eastAsia" w:ascii="仿宋" w:hAnsi="仿宋" w:eastAsia="仿宋" w:cs="仿宋"/>
          <w:color w:val="000000"/>
          <w:sz w:val="24"/>
          <w:szCs w:val="24"/>
          <w:highlight w:val="none"/>
          <w:u w:val="single"/>
        </w:rPr>
        <w:t xml:space="preserve"> 工业（制造业） </w:t>
      </w:r>
    </w:p>
    <w:p w14:paraId="7F082EA0">
      <w:pPr>
        <w:spacing w:line="560" w:lineRule="exact"/>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w:t>
      </w:r>
      <w:r>
        <w:rPr>
          <w:rFonts w:hint="eastAsia" w:ascii="仿宋" w:hAnsi="仿宋" w:eastAsia="仿宋" w:cs="仿宋"/>
          <w:color w:val="000000"/>
          <w:sz w:val="24"/>
          <w:szCs w:val="24"/>
          <w:highlight w:val="none"/>
          <w:u w:val="single"/>
        </w:rPr>
        <w:t xml:space="preserve"> 不接受 </w:t>
      </w:r>
      <w:r>
        <w:rPr>
          <w:rFonts w:hint="eastAsia" w:ascii="仿宋" w:hAnsi="仿宋" w:eastAsia="仿宋" w:cs="仿宋"/>
          <w:color w:val="000000"/>
          <w:sz w:val="24"/>
          <w:szCs w:val="24"/>
          <w:highlight w:val="none"/>
        </w:rPr>
        <w:t>（接受/不接受）进口产品。</w:t>
      </w:r>
    </w:p>
    <w:p w14:paraId="6B521D20">
      <w:pPr>
        <w:spacing w:line="560" w:lineRule="exact"/>
        <w:ind w:firstLine="482"/>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一、项目概况</w:t>
      </w:r>
    </w:p>
    <w:p w14:paraId="2CEF6AAC">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本次采购内容为</w:t>
      </w:r>
      <w:r>
        <w:rPr>
          <w:rFonts w:hint="eastAsia" w:ascii="仿宋" w:hAnsi="仿宋" w:eastAsia="仿宋" w:cs="仿宋"/>
          <w:color w:val="000000"/>
          <w:sz w:val="24"/>
          <w:highlight w:val="none"/>
          <w:u w:val="single"/>
          <w:lang w:eastAsia="zh-CN"/>
        </w:rPr>
        <w:t>宿迁市农畜产品质量检测中心水产品检测能力提升项目</w:t>
      </w:r>
      <w:r>
        <w:rPr>
          <w:rFonts w:hint="eastAsia" w:ascii="仿宋" w:hAnsi="仿宋" w:eastAsia="仿宋" w:cs="仿宋"/>
          <w:color w:val="000000"/>
          <w:sz w:val="24"/>
          <w:highlight w:val="none"/>
        </w:rPr>
        <w:t>，项目预算为</w:t>
      </w:r>
      <w:r>
        <w:rPr>
          <w:rFonts w:hint="eastAsia" w:ascii="仿宋" w:hAnsi="仿宋" w:eastAsia="仿宋" w:cs="仿宋"/>
          <w:color w:val="000000"/>
          <w:sz w:val="24"/>
          <w:highlight w:val="none"/>
          <w:u w:val="single"/>
          <w:lang w:eastAsia="zh-CN"/>
        </w:rPr>
        <w:t>350万元</w:t>
      </w:r>
      <w:r>
        <w:rPr>
          <w:rFonts w:hint="eastAsia" w:ascii="仿宋" w:hAnsi="仿宋" w:eastAsia="仿宋" w:cs="仿宋"/>
          <w:color w:val="000000"/>
          <w:sz w:val="24"/>
          <w:highlight w:val="none"/>
          <w:u w:val="none"/>
          <w:lang w:eastAsia="zh-CN"/>
        </w:rPr>
        <w:t>，</w:t>
      </w:r>
      <w:r>
        <w:rPr>
          <w:rFonts w:hint="eastAsia" w:ascii="仿宋" w:hAnsi="仿宋" w:eastAsia="仿宋" w:cs="仿宋"/>
          <w:color w:val="000000"/>
          <w:sz w:val="24"/>
          <w:highlight w:val="none"/>
        </w:rPr>
        <w:t>最高限价</w:t>
      </w:r>
      <w:r>
        <w:rPr>
          <w:rFonts w:hint="eastAsia" w:ascii="仿宋" w:hAnsi="仿宋" w:eastAsia="仿宋" w:cs="仿宋"/>
          <w:color w:val="000000"/>
          <w:sz w:val="24"/>
          <w:highlight w:val="none"/>
          <w:lang w:val="en-US" w:eastAsia="zh-CN"/>
        </w:rPr>
        <w:t>为</w:t>
      </w:r>
      <w:r>
        <w:rPr>
          <w:rFonts w:hint="eastAsia" w:ascii="仿宋" w:hAnsi="仿宋" w:eastAsia="仿宋" w:cs="仿宋"/>
          <w:color w:val="000000"/>
          <w:sz w:val="24"/>
          <w:highlight w:val="none"/>
          <w:u w:val="single"/>
          <w:lang w:val="en-US" w:eastAsia="zh-CN"/>
        </w:rPr>
        <w:t>350万元</w:t>
      </w:r>
      <w:r>
        <w:rPr>
          <w:rFonts w:hint="eastAsia" w:ascii="仿宋" w:hAnsi="仿宋" w:eastAsia="仿宋" w:cs="仿宋"/>
          <w:color w:val="000000"/>
          <w:sz w:val="24"/>
          <w:highlight w:val="none"/>
        </w:rPr>
        <w:t>。</w:t>
      </w:r>
    </w:p>
    <w:p w14:paraId="3B1F6C79">
      <w:pPr>
        <w:spacing w:line="560" w:lineRule="exact"/>
        <w:ind w:firstLine="482"/>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二、合同履行期限、地点及要求</w:t>
      </w:r>
    </w:p>
    <w:p w14:paraId="07CD9CE0">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供货期：</w:t>
      </w:r>
      <w:r>
        <w:rPr>
          <w:rFonts w:hint="eastAsia" w:ascii="仿宋" w:hAnsi="仿宋" w:eastAsia="仿宋" w:cs="仿宋"/>
          <w:color w:val="000000"/>
          <w:sz w:val="24"/>
          <w:highlight w:val="none"/>
          <w:lang w:eastAsia="zh-CN"/>
        </w:rPr>
        <w:t>合同签订后1个月内安装并调试完成</w:t>
      </w:r>
      <w:r>
        <w:rPr>
          <w:rFonts w:hint="eastAsia" w:ascii="仿宋" w:hAnsi="仿宋" w:eastAsia="仿宋" w:cs="仿宋"/>
          <w:color w:val="000000"/>
          <w:sz w:val="24"/>
          <w:highlight w:val="none"/>
        </w:rPr>
        <w:t>；</w:t>
      </w:r>
    </w:p>
    <w:p w14:paraId="17FC3FDE">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售后服务期：</w:t>
      </w:r>
      <w:r>
        <w:rPr>
          <w:rFonts w:hint="eastAsia" w:ascii="仿宋" w:hAnsi="仿宋" w:eastAsia="仿宋" w:cs="仿宋"/>
          <w:color w:val="000000"/>
          <w:sz w:val="24"/>
          <w:highlight w:val="none"/>
          <w:lang w:eastAsia="zh-CN"/>
        </w:rPr>
        <w:t>1年，自项目验收合格之日起</w:t>
      </w:r>
      <w:r>
        <w:rPr>
          <w:rFonts w:hint="eastAsia" w:ascii="仿宋" w:hAnsi="仿宋" w:eastAsia="仿宋" w:cs="仿宋"/>
          <w:color w:val="000000"/>
          <w:sz w:val="24"/>
          <w:highlight w:val="none"/>
        </w:rPr>
        <w:t>；</w:t>
      </w:r>
    </w:p>
    <w:p w14:paraId="27898ABB">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供货地点：</w:t>
      </w:r>
      <w:r>
        <w:rPr>
          <w:rFonts w:hint="eastAsia" w:ascii="仿宋" w:hAnsi="仿宋" w:eastAsia="仿宋" w:cs="仿宋"/>
          <w:color w:val="000000"/>
          <w:sz w:val="24"/>
          <w:highlight w:val="none"/>
          <w:lang w:eastAsia="zh-CN"/>
        </w:rPr>
        <w:t>宿迁市农畜产品质量检测中心</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eastAsia="zh-CN"/>
        </w:rPr>
        <w:t>宿迁市宿城区世纪大道7号</w:t>
      </w:r>
      <w:r>
        <w:rPr>
          <w:rFonts w:hint="eastAsia" w:ascii="仿宋" w:hAnsi="仿宋" w:eastAsia="仿宋" w:cs="仿宋"/>
          <w:color w:val="000000"/>
          <w:sz w:val="24"/>
          <w:highlight w:val="none"/>
        </w:rPr>
        <w:t>），具体由采购人指定。</w:t>
      </w:r>
    </w:p>
    <w:p w14:paraId="4F6CF653">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质量要求：合格；提供的产品性能及质量有国家标准的应符合国家标准。无国家标准的应符合行业标准或企业标准，并满足招标文件要求，实现投标文件承诺条款。</w:t>
      </w:r>
    </w:p>
    <w:p w14:paraId="252FE8F8">
      <w:pPr>
        <w:spacing w:line="560" w:lineRule="exact"/>
        <w:ind w:firstLine="482"/>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三、付款方式</w:t>
      </w:r>
    </w:p>
    <w:p w14:paraId="6F5E0479">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对于满足合同约定支付条件的，自收到发票后10个工作日内将资金支付到合同约定的投标人账户或投标人数字人民币账户。</w:t>
      </w:r>
    </w:p>
    <w:p w14:paraId="06A43FC6">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合同签订后，在收到供应商发票后10个工作日内支付合同总价款30%的预付款；货物到现场安装调试完毕稳定运行，经采购人验收合格后在收到供应商发票后10个工作日内，采购人将货款支付到合同总价款的100%。</w:t>
      </w:r>
    </w:p>
    <w:p w14:paraId="04B59FF9">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注：在签订合同时，中标人明确表示无需预付款或者主动要求降低预付款比例的金额，采购人可不适用预付款规定。</w:t>
      </w:r>
    </w:p>
    <w:p w14:paraId="675AD64A">
      <w:pPr>
        <w:numPr>
          <w:ilvl w:val="0"/>
          <w:numId w:val="0"/>
        </w:numPr>
        <w:spacing w:line="560" w:lineRule="exact"/>
        <w:ind w:firstLine="482" w:firstLineChars="0"/>
        <w:rPr>
          <w:rFonts w:hint="eastAsia" w:ascii="仿宋" w:hAnsi="仿宋" w:eastAsia="仿宋" w:cs="仿宋"/>
          <w:b/>
          <w:bCs/>
          <w:color w:val="000000"/>
          <w:sz w:val="24"/>
          <w:highlight w:val="none"/>
        </w:rPr>
      </w:pPr>
      <w:r>
        <w:rPr>
          <w:rFonts w:hint="eastAsia" w:ascii="仿宋" w:hAnsi="仿宋" w:eastAsia="仿宋" w:cs="仿宋"/>
          <w:b/>
          <w:bCs/>
          <w:color w:val="000000"/>
          <w:sz w:val="24"/>
          <w:szCs w:val="21"/>
          <w:highlight w:val="none"/>
          <w:lang w:val="en-US" w:eastAsia="zh-CN" w:bidi="ar-SA"/>
        </w:rPr>
        <w:t>四、</w:t>
      </w:r>
      <w:r>
        <w:rPr>
          <w:rFonts w:hint="eastAsia" w:ascii="仿宋" w:hAnsi="仿宋" w:eastAsia="仿宋" w:cs="仿宋"/>
          <w:b/>
          <w:bCs/>
          <w:color w:val="000000"/>
          <w:sz w:val="24"/>
          <w:highlight w:val="none"/>
        </w:rPr>
        <w:t>采购清单、技术参数及要求</w:t>
      </w:r>
    </w:p>
    <w:p w14:paraId="33121E38">
      <w:pPr>
        <w:numPr>
          <w:ilvl w:val="0"/>
          <w:numId w:val="0"/>
        </w:numPr>
        <w:spacing w:line="560" w:lineRule="exact"/>
        <w:ind w:firstLine="480" w:firstLineChars="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szCs w:val="21"/>
          <w:highlight w:val="none"/>
          <w:lang w:val="en-US" w:eastAsia="zh-CN" w:bidi="ar-SA"/>
        </w:rPr>
        <w:t>（一）</w:t>
      </w:r>
      <w:r>
        <w:rPr>
          <w:rFonts w:hint="eastAsia" w:ascii="仿宋" w:hAnsi="仿宋" w:eastAsia="仿宋" w:cs="仿宋"/>
          <w:color w:val="000000"/>
          <w:sz w:val="24"/>
          <w:highlight w:val="none"/>
          <w:lang w:val="en-US" w:eastAsia="zh-CN"/>
        </w:rPr>
        <w:t>采购清单</w:t>
      </w:r>
    </w:p>
    <w:tbl>
      <w:tblPr>
        <w:tblStyle w:val="3"/>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710"/>
        <w:gridCol w:w="1164"/>
        <w:gridCol w:w="948"/>
        <w:gridCol w:w="2926"/>
      </w:tblGrid>
      <w:tr w14:paraId="7817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11" w:type="dxa"/>
            <w:shd w:val="clear" w:color="auto" w:fill="auto"/>
            <w:vAlign w:val="center"/>
          </w:tcPr>
          <w:p w14:paraId="65B41510">
            <w:pPr>
              <w:widowControl w:val="0"/>
              <w:numPr>
                <w:ilvl w:val="0"/>
                <w:numId w:val="0"/>
              </w:numPr>
              <w:spacing w:after="0" w:line="560" w:lineRule="exact"/>
              <w:jc w:val="center"/>
              <w:rPr>
                <w:rFonts w:hint="eastAsia" w:ascii="仿宋" w:hAnsi="仿宋" w:eastAsia="仿宋" w:cs="仿宋"/>
                <w:b/>
                <w:bCs/>
                <w:color w:val="000000"/>
                <w:sz w:val="24"/>
                <w:szCs w:val="24"/>
                <w:highlight w:val="none"/>
                <w:vertAlign w:val="baseline"/>
                <w:lang w:val="en-US" w:eastAsia="zh-CN"/>
              </w:rPr>
            </w:pPr>
            <w:r>
              <w:rPr>
                <w:rFonts w:hint="eastAsia" w:ascii="仿宋" w:hAnsi="仿宋" w:eastAsia="仿宋" w:cs="仿宋"/>
                <w:b/>
                <w:bCs/>
                <w:color w:val="000000"/>
                <w:sz w:val="24"/>
                <w:szCs w:val="24"/>
                <w:highlight w:val="none"/>
                <w:vertAlign w:val="baseline"/>
                <w:lang w:val="en-US" w:eastAsia="zh-CN"/>
              </w:rPr>
              <w:t>序号</w:t>
            </w:r>
          </w:p>
        </w:tc>
        <w:tc>
          <w:tcPr>
            <w:tcW w:w="2955" w:type="dxa"/>
            <w:shd w:val="clear" w:color="auto" w:fill="auto"/>
            <w:vAlign w:val="center"/>
          </w:tcPr>
          <w:p w14:paraId="1D9E739C">
            <w:pPr>
              <w:widowControl w:val="0"/>
              <w:numPr>
                <w:ilvl w:val="0"/>
                <w:numId w:val="0"/>
              </w:numPr>
              <w:spacing w:after="0" w:line="560" w:lineRule="exact"/>
              <w:jc w:val="center"/>
              <w:rPr>
                <w:rFonts w:hint="eastAsia" w:ascii="仿宋" w:hAnsi="仿宋" w:eastAsia="仿宋" w:cs="仿宋"/>
                <w:b/>
                <w:bCs/>
                <w:color w:val="000000"/>
                <w:sz w:val="24"/>
                <w:szCs w:val="24"/>
                <w:highlight w:val="none"/>
                <w:vertAlign w:val="baseline"/>
                <w:lang w:val="en-US" w:eastAsia="zh-CN"/>
              </w:rPr>
            </w:pPr>
            <w:r>
              <w:rPr>
                <w:rFonts w:hint="eastAsia" w:ascii="仿宋" w:hAnsi="仿宋" w:eastAsia="仿宋" w:cs="仿宋"/>
                <w:b/>
                <w:bCs/>
                <w:color w:val="000000"/>
                <w:sz w:val="24"/>
                <w:szCs w:val="24"/>
                <w:highlight w:val="none"/>
                <w:vertAlign w:val="baseline"/>
                <w:lang w:val="en-US" w:eastAsia="zh-CN"/>
              </w:rPr>
              <w:t>仪器名称</w:t>
            </w:r>
          </w:p>
        </w:tc>
        <w:tc>
          <w:tcPr>
            <w:tcW w:w="1245" w:type="dxa"/>
            <w:shd w:val="clear" w:color="auto" w:fill="auto"/>
            <w:vAlign w:val="center"/>
          </w:tcPr>
          <w:p w14:paraId="150FF989">
            <w:pPr>
              <w:widowControl w:val="0"/>
              <w:numPr>
                <w:ilvl w:val="0"/>
                <w:numId w:val="0"/>
              </w:numPr>
              <w:spacing w:after="0" w:line="560" w:lineRule="exact"/>
              <w:jc w:val="center"/>
              <w:rPr>
                <w:rFonts w:hint="eastAsia" w:ascii="仿宋" w:hAnsi="仿宋" w:eastAsia="仿宋" w:cs="仿宋"/>
                <w:b/>
                <w:bCs/>
                <w:color w:val="000000"/>
                <w:sz w:val="24"/>
                <w:szCs w:val="24"/>
                <w:highlight w:val="none"/>
                <w:vertAlign w:val="baseline"/>
                <w:lang w:val="en-US" w:eastAsia="zh-CN"/>
              </w:rPr>
            </w:pPr>
            <w:r>
              <w:rPr>
                <w:rFonts w:hint="eastAsia" w:ascii="仿宋" w:hAnsi="仿宋" w:eastAsia="仿宋" w:cs="仿宋"/>
                <w:b/>
                <w:bCs/>
                <w:color w:val="000000"/>
                <w:sz w:val="24"/>
                <w:szCs w:val="24"/>
                <w:highlight w:val="none"/>
                <w:vertAlign w:val="baseline"/>
                <w:lang w:val="en-US" w:eastAsia="zh-CN"/>
              </w:rPr>
              <w:t>数量</w:t>
            </w:r>
          </w:p>
        </w:tc>
        <w:tc>
          <w:tcPr>
            <w:tcW w:w="1004" w:type="dxa"/>
            <w:shd w:val="clear" w:color="auto" w:fill="auto"/>
            <w:vAlign w:val="center"/>
          </w:tcPr>
          <w:p w14:paraId="0DCFDC76">
            <w:pPr>
              <w:widowControl w:val="0"/>
              <w:numPr>
                <w:ilvl w:val="0"/>
                <w:numId w:val="0"/>
              </w:numPr>
              <w:spacing w:after="0" w:line="560" w:lineRule="exact"/>
              <w:jc w:val="center"/>
              <w:rPr>
                <w:rFonts w:hint="eastAsia" w:ascii="仿宋" w:hAnsi="仿宋" w:eastAsia="仿宋" w:cs="仿宋"/>
                <w:b/>
                <w:bCs/>
                <w:color w:val="000000"/>
                <w:sz w:val="24"/>
                <w:szCs w:val="24"/>
                <w:highlight w:val="none"/>
                <w:vertAlign w:val="baseline"/>
                <w:lang w:val="en-US" w:eastAsia="zh-CN"/>
              </w:rPr>
            </w:pPr>
            <w:r>
              <w:rPr>
                <w:rFonts w:hint="eastAsia" w:ascii="仿宋" w:hAnsi="仿宋" w:eastAsia="仿宋" w:cs="仿宋"/>
                <w:b/>
                <w:bCs/>
                <w:color w:val="000000"/>
                <w:sz w:val="24"/>
                <w:szCs w:val="24"/>
                <w:highlight w:val="none"/>
                <w:vertAlign w:val="baseline"/>
                <w:lang w:val="en-US" w:eastAsia="zh-CN"/>
              </w:rPr>
              <w:t>单位</w:t>
            </w:r>
          </w:p>
        </w:tc>
        <w:tc>
          <w:tcPr>
            <w:tcW w:w="3154" w:type="dxa"/>
            <w:vAlign w:val="center"/>
          </w:tcPr>
          <w:p w14:paraId="2A886B0C">
            <w:pPr>
              <w:widowControl w:val="0"/>
              <w:numPr>
                <w:ilvl w:val="0"/>
                <w:numId w:val="0"/>
              </w:numPr>
              <w:spacing w:after="0" w:line="560" w:lineRule="exact"/>
              <w:jc w:val="center"/>
              <w:rPr>
                <w:rFonts w:hint="eastAsia" w:ascii="仿宋" w:hAnsi="仿宋" w:eastAsia="仿宋" w:cs="仿宋"/>
                <w:b/>
                <w:bCs/>
                <w:color w:val="000000"/>
                <w:sz w:val="24"/>
                <w:szCs w:val="24"/>
                <w:highlight w:val="none"/>
                <w:vertAlign w:val="baseline"/>
                <w:lang w:val="en-US" w:eastAsia="zh-CN"/>
              </w:rPr>
            </w:pPr>
            <w:r>
              <w:rPr>
                <w:rFonts w:hint="eastAsia" w:ascii="仿宋" w:hAnsi="仿宋" w:eastAsia="仿宋" w:cs="仿宋"/>
                <w:b/>
                <w:bCs/>
                <w:color w:val="000000"/>
                <w:sz w:val="24"/>
                <w:szCs w:val="24"/>
                <w:highlight w:val="none"/>
                <w:vertAlign w:val="baseline"/>
                <w:lang w:val="en-US" w:eastAsia="zh-CN"/>
              </w:rPr>
              <w:t>配置包含</w:t>
            </w:r>
          </w:p>
        </w:tc>
      </w:tr>
      <w:tr w14:paraId="6892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11" w:type="dxa"/>
            <w:shd w:val="clear" w:color="auto" w:fill="auto"/>
            <w:vAlign w:val="center"/>
          </w:tcPr>
          <w:p w14:paraId="7D062FC0">
            <w:pPr>
              <w:pStyle w:val="5"/>
              <w:keepLines w:val="0"/>
              <w:pageBreakBefore w:val="0"/>
              <w:numPr>
                <w:ilvl w:val="0"/>
                <w:numId w:val="0"/>
              </w:numPr>
              <w:spacing w:after="0" w:line="360" w:lineRule="auto"/>
              <w:ind w:left="0" w:leftChars="0" w:firstLine="0" w:firstLineChars="0"/>
              <w:jc w:val="center"/>
              <w:rPr>
                <w:rFonts w:hint="eastAsia" w:ascii="仿宋" w:hAnsi="仿宋" w:eastAsia="仿宋" w:cs="仿宋"/>
                <w:b w:val="0"/>
                <w:bCs w:val="0"/>
                <w:color w:val="000000"/>
                <w:sz w:val="24"/>
                <w:szCs w:val="24"/>
                <w:highlight w:val="none"/>
                <w:vertAlign w:val="baseline"/>
                <w:lang w:val="en-US" w:eastAsia="zh-CN" w:bidi="ar-SA"/>
              </w:rPr>
            </w:pPr>
            <w:r>
              <w:rPr>
                <w:rFonts w:hint="eastAsia" w:ascii="仿宋" w:hAnsi="仿宋" w:eastAsia="仿宋" w:cs="仿宋"/>
                <w:b w:val="0"/>
                <w:bCs w:val="0"/>
                <w:color w:val="000000"/>
                <w:sz w:val="24"/>
                <w:szCs w:val="24"/>
                <w:highlight w:val="none"/>
                <w:vertAlign w:val="baseline"/>
                <w:lang w:val="en-US" w:eastAsia="zh-CN" w:bidi="ar-SA"/>
              </w:rPr>
              <w:t>1</w:t>
            </w:r>
          </w:p>
        </w:tc>
        <w:tc>
          <w:tcPr>
            <w:tcW w:w="2955" w:type="dxa"/>
            <w:shd w:val="clear" w:color="auto" w:fill="auto"/>
            <w:vAlign w:val="center"/>
          </w:tcPr>
          <w:p w14:paraId="5595A217">
            <w:pPr>
              <w:snapToGrid w:val="0"/>
              <w:spacing w:after="0" w:line="0" w:lineRule="atLeast"/>
              <w:rPr>
                <w:rFonts w:hint="default" w:ascii="仿宋" w:hAnsi="仿宋" w:eastAsia="仿宋" w:cs="仿宋"/>
                <w:sz w:val="24"/>
                <w:szCs w:val="24"/>
                <w:highlight w:val="none"/>
                <w:lang w:val="en-US" w:eastAsia="zh-CN" w:bidi="ar-SA"/>
              </w:rPr>
            </w:pPr>
            <w:r>
              <w:rPr>
                <w:rFonts w:hint="eastAsia" w:ascii="仿宋" w:hAnsi="仿宋" w:eastAsia="仿宋" w:cs="仿宋"/>
                <w:sz w:val="24"/>
                <w:szCs w:val="24"/>
                <w:highlight w:val="none"/>
              </w:rPr>
              <w:t>超高灵敏度三重四极杆质谱系统</w:t>
            </w:r>
            <w:r>
              <w:rPr>
                <w:rFonts w:hint="eastAsia" w:ascii="仿宋" w:hAnsi="仿宋" w:eastAsia="仿宋" w:cs="仿宋"/>
                <w:sz w:val="24"/>
                <w:szCs w:val="24"/>
                <w:highlight w:val="none"/>
                <w:lang w:val="en-US" w:eastAsia="zh-CN"/>
              </w:rPr>
              <w:t>(核心产品)</w:t>
            </w:r>
          </w:p>
        </w:tc>
        <w:tc>
          <w:tcPr>
            <w:tcW w:w="1245" w:type="dxa"/>
            <w:shd w:val="clear" w:color="auto" w:fill="auto"/>
            <w:vAlign w:val="center"/>
          </w:tcPr>
          <w:p w14:paraId="2ABEE306">
            <w:pPr>
              <w:snapToGrid w:val="0"/>
              <w:spacing w:after="0" w:line="0" w:lineRule="atLeast"/>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rPr>
              <w:t>1</w:t>
            </w:r>
          </w:p>
        </w:tc>
        <w:tc>
          <w:tcPr>
            <w:tcW w:w="1004" w:type="dxa"/>
            <w:shd w:val="clear" w:color="auto" w:fill="auto"/>
            <w:vAlign w:val="center"/>
          </w:tcPr>
          <w:p w14:paraId="3A7D482A">
            <w:pPr>
              <w:pStyle w:val="5"/>
              <w:keepLines w:val="0"/>
              <w:pageBreakBefore w:val="0"/>
              <w:numPr>
                <w:ilvl w:val="0"/>
                <w:numId w:val="0"/>
              </w:numPr>
              <w:spacing w:after="0" w:line="360" w:lineRule="auto"/>
              <w:ind w:left="0" w:leftChars="0" w:firstLine="0" w:firstLineChars="0"/>
              <w:jc w:val="center"/>
              <w:rPr>
                <w:rFonts w:hint="eastAsia" w:ascii="仿宋" w:hAnsi="仿宋" w:eastAsia="仿宋" w:cs="仿宋"/>
                <w:b w:val="0"/>
                <w:bCs w:val="0"/>
                <w:color w:val="000000"/>
                <w:sz w:val="24"/>
                <w:szCs w:val="24"/>
                <w:highlight w:val="none"/>
                <w:vertAlign w:val="baseline"/>
                <w:lang w:val="en-US" w:eastAsia="zh-CN" w:bidi="ar-SA"/>
              </w:rPr>
            </w:pPr>
            <w:r>
              <w:rPr>
                <w:rFonts w:hint="eastAsia" w:ascii="仿宋" w:hAnsi="仿宋" w:eastAsia="仿宋" w:cs="仿宋"/>
                <w:sz w:val="24"/>
                <w:szCs w:val="24"/>
                <w:highlight w:val="none"/>
              </w:rPr>
              <w:t>套</w:t>
            </w:r>
          </w:p>
        </w:tc>
        <w:tc>
          <w:tcPr>
            <w:tcW w:w="3154" w:type="dxa"/>
            <w:shd w:val="clear" w:color="auto" w:fill="auto"/>
            <w:vAlign w:val="center"/>
          </w:tcPr>
          <w:p w14:paraId="2EA575D3">
            <w:pPr>
              <w:snapToGrid w:val="0"/>
              <w:spacing w:after="0" w:line="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1.质谱主机1台；</w:t>
            </w:r>
          </w:p>
          <w:p w14:paraId="2BE828A7">
            <w:pPr>
              <w:snapToGrid w:val="0"/>
              <w:spacing w:after="0" w:line="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2.离子源装置1套（含ESI和APCI离子源探针）；</w:t>
            </w:r>
          </w:p>
          <w:p w14:paraId="38409BCF">
            <w:pPr>
              <w:snapToGrid w:val="0"/>
              <w:spacing w:after="0" w:line="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3.标准机械泵1台；</w:t>
            </w:r>
          </w:p>
          <w:p w14:paraId="32373B4A">
            <w:pPr>
              <w:snapToGrid w:val="0"/>
              <w:spacing w:after="0" w:line="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4.电脑工作站1台；</w:t>
            </w:r>
          </w:p>
          <w:p w14:paraId="0F3BCC1E">
            <w:pPr>
              <w:snapToGrid w:val="0"/>
              <w:spacing w:after="0" w:line="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5.仪器控制、操作与定量分析软件1套；</w:t>
            </w:r>
          </w:p>
          <w:p w14:paraId="7B92F452">
            <w:pPr>
              <w:snapToGrid w:val="0"/>
              <w:spacing w:after="0" w:line="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6. OFFICE软件1套；</w:t>
            </w:r>
          </w:p>
          <w:p w14:paraId="556F7A2B">
            <w:pPr>
              <w:snapToGrid w:val="0"/>
              <w:spacing w:after="0" w:line="0" w:lineRule="atLeas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7.系统调谐试剂1套。</w:t>
            </w:r>
          </w:p>
        </w:tc>
      </w:tr>
      <w:tr w14:paraId="7DAC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11" w:type="dxa"/>
            <w:shd w:val="clear" w:color="auto" w:fill="auto"/>
            <w:vAlign w:val="center"/>
          </w:tcPr>
          <w:p w14:paraId="38D250A4">
            <w:pPr>
              <w:pStyle w:val="5"/>
              <w:keepLines w:val="0"/>
              <w:pageBreakBefore w:val="0"/>
              <w:numPr>
                <w:ilvl w:val="0"/>
                <w:numId w:val="0"/>
              </w:numPr>
              <w:spacing w:after="0" w:line="360" w:lineRule="auto"/>
              <w:ind w:left="0" w:leftChars="0" w:firstLine="0" w:firstLineChars="0"/>
              <w:jc w:val="center"/>
              <w:rPr>
                <w:rFonts w:hint="eastAsia" w:ascii="仿宋" w:hAnsi="仿宋" w:eastAsia="仿宋" w:cs="仿宋"/>
                <w:b w:val="0"/>
                <w:bCs w:val="0"/>
                <w:color w:val="000000"/>
                <w:sz w:val="24"/>
                <w:szCs w:val="24"/>
                <w:highlight w:val="none"/>
                <w:vertAlign w:val="baseline"/>
                <w:lang w:val="en-US" w:eastAsia="zh-CN" w:bidi="ar-SA"/>
              </w:rPr>
            </w:pPr>
            <w:r>
              <w:rPr>
                <w:rFonts w:hint="eastAsia" w:ascii="仿宋" w:hAnsi="仿宋" w:eastAsia="仿宋" w:cs="仿宋"/>
                <w:b w:val="0"/>
                <w:bCs w:val="0"/>
                <w:color w:val="000000"/>
                <w:sz w:val="24"/>
                <w:szCs w:val="24"/>
                <w:highlight w:val="none"/>
                <w:vertAlign w:val="baseline"/>
                <w:lang w:val="en-US" w:eastAsia="zh-CN" w:bidi="ar-SA"/>
              </w:rPr>
              <w:t>2</w:t>
            </w:r>
          </w:p>
        </w:tc>
        <w:tc>
          <w:tcPr>
            <w:tcW w:w="2955" w:type="dxa"/>
            <w:shd w:val="clear" w:color="auto" w:fill="auto"/>
            <w:vAlign w:val="center"/>
          </w:tcPr>
          <w:p w14:paraId="39C9B0AB">
            <w:pPr>
              <w:snapToGrid w:val="0"/>
              <w:spacing w:after="0" w:line="0" w:lineRule="atLeast"/>
              <w:jc w:val="left"/>
              <w:rPr>
                <w:rFonts w:hint="eastAsia" w:ascii="仿宋" w:hAnsi="仿宋" w:eastAsia="仿宋" w:cs="仿宋"/>
                <w:sz w:val="24"/>
                <w:szCs w:val="24"/>
                <w:highlight w:val="none"/>
                <w:lang w:val="en-US" w:eastAsia="zh-CN" w:bidi="ar-SA"/>
              </w:rPr>
            </w:pPr>
            <w:r>
              <w:rPr>
                <w:rFonts w:hint="eastAsia" w:ascii="仿宋" w:hAnsi="仿宋" w:eastAsia="仿宋" w:cs="仿宋"/>
                <w:bCs/>
                <w:sz w:val="24"/>
                <w:szCs w:val="24"/>
                <w:highlight w:val="none"/>
              </w:rPr>
              <w:t>超高效液相色谱系统</w:t>
            </w:r>
          </w:p>
        </w:tc>
        <w:tc>
          <w:tcPr>
            <w:tcW w:w="1245" w:type="dxa"/>
            <w:shd w:val="clear" w:color="auto" w:fill="auto"/>
            <w:vAlign w:val="center"/>
          </w:tcPr>
          <w:p w14:paraId="02361F4B">
            <w:pPr>
              <w:snapToGrid w:val="0"/>
              <w:spacing w:after="0" w:line="0" w:lineRule="atLeast"/>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rPr>
              <w:t>1</w:t>
            </w:r>
          </w:p>
        </w:tc>
        <w:tc>
          <w:tcPr>
            <w:tcW w:w="1004" w:type="dxa"/>
            <w:shd w:val="clear" w:color="auto" w:fill="auto"/>
            <w:vAlign w:val="center"/>
          </w:tcPr>
          <w:p w14:paraId="78EE7458">
            <w:pPr>
              <w:pStyle w:val="5"/>
              <w:keepLines w:val="0"/>
              <w:pageBreakBefore w:val="0"/>
              <w:numPr>
                <w:ilvl w:val="0"/>
                <w:numId w:val="0"/>
              </w:numPr>
              <w:spacing w:after="0" w:line="360" w:lineRule="auto"/>
              <w:ind w:left="0" w:leftChars="0" w:firstLine="0" w:firstLineChars="0"/>
              <w:jc w:val="center"/>
              <w:rPr>
                <w:rFonts w:hint="eastAsia" w:ascii="仿宋" w:hAnsi="仿宋" w:eastAsia="仿宋" w:cs="仿宋"/>
                <w:b w:val="0"/>
                <w:bCs w:val="0"/>
                <w:color w:val="000000"/>
                <w:sz w:val="24"/>
                <w:szCs w:val="24"/>
                <w:highlight w:val="none"/>
                <w:vertAlign w:val="baseline"/>
                <w:lang w:val="en-US" w:eastAsia="zh-CN" w:bidi="ar-SA"/>
              </w:rPr>
            </w:pPr>
            <w:r>
              <w:rPr>
                <w:rFonts w:hint="eastAsia" w:ascii="仿宋" w:hAnsi="仿宋" w:eastAsia="仿宋" w:cs="仿宋"/>
                <w:sz w:val="24"/>
                <w:szCs w:val="24"/>
                <w:highlight w:val="none"/>
              </w:rPr>
              <w:t>套</w:t>
            </w:r>
          </w:p>
        </w:tc>
        <w:tc>
          <w:tcPr>
            <w:tcW w:w="3154" w:type="dxa"/>
            <w:shd w:val="clear" w:color="auto" w:fill="auto"/>
            <w:vAlign w:val="center"/>
          </w:tcPr>
          <w:p w14:paraId="6BF70473">
            <w:pPr>
              <w:snapToGrid w:val="0"/>
              <w:spacing w:after="0" w:line="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1.超高压二元泵1套；</w:t>
            </w:r>
          </w:p>
          <w:p w14:paraId="5A61FB07">
            <w:pPr>
              <w:snapToGrid w:val="0"/>
              <w:spacing w:after="0" w:line="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2.高性能自动进样器 1套；</w:t>
            </w:r>
          </w:p>
          <w:p w14:paraId="2519B1E2">
            <w:pPr>
              <w:snapToGrid w:val="0"/>
              <w:spacing w:after="0" w:line="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3.柱温箱1套；</w:t>
            </w:r>
          </w:p>
          <w:p w14:paraId="10144FCC">
            <w:pPr>
              <w:snapToGrid w:val="0"/>
              <w:spacing w:after="0" w:line="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4.安装启动包1套；</w:t>
            </w:r>
          </w:p>
          <w:p w14:paraId="2A96BED1">
            <w:pPr>
              <w:snapToGrid w:val="0"/>
              <w:spacing w:after="0" w:line="0" w:lineRule="atLeas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5.溶剂瓶与进样瓶1套。</w:t>
            </w:r>
          </w:p>
        </w:tc>
      </w:tr>
      <w:tr w14:paraId="0047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1" w:type="dxa"/>
            <w:shd w:val="clear" w:color="auto" w:fill="auto"/>
            <w:vAlign w:val="center"/>
          </w:tcPr>
          <w:p w14:paraId="5752E854">
            <w:pPr>
              <w:pStyle w:val="5"/>
              <w:keepLines w:val="0"/>
              <w:pageBreakBefore w:val="0"/>
              <w:numPr>
                <w:ilvl w:val="0"/>
                <w:numId w:val="0"/>
              </w:numPr>
              <w:spacing w:after="0" w:line="360" w:lineRule="auto"/>
              <w:ind w:left="0" w:leftChars="0" w:firstLine="0" w:firstLineChars="0"/>
              <w:jc w:val="center"/>
              <w:rPr>
                <w:rFonts w:hint="eastAsia" w:ascii="仿宋" w:hAnsi="仿宋" w:eastAsia="仿宋" w:cs="仿宋"/>
                <w:b w:val="0"/>
                <w:bCs w:val="0"/>
                <w:color w:val="000000"/>
                <w:sz w:val="24"/>
                <w:szCs w:val="24"/>
                <w:highlight w:val="none"/>
                <w:vertAlign w:val="baseline"/>
                <w:lang w:val="en-US" w:eastAsia="zh-CN" w:bidi="ar-SA"/>
              </w:rPr>
            </w:pPr>
            <w:r>
              <w:rPr>
                <w:rFonts w:hint="eastAsia" w:ascii="仿宋" w:hAnsi="仿宋" w:eastAsia="仿宋" w:cs="仿宋"/>
                <w:b w:val="0"/>
                <w:bCs w:val="0"/>
                <w:color w:val="000000"/>
                <w:sz w:val="24"/>
                <w:szCs w:val="24"/>
                <w:highlight w:val="none"/>
                <w:vertAlign w:val="baseline"/>
                <w:lang w:val="en-US" w:eastAsia="zh-CN" w:bidi="ar-SA"/>
              </w:rPr>
              <w:t>3</w:t>
            </w:r>
          </w:p>
        </w:tc>
        <w:tc>
          <w:tcPr>
            <w:tcW w:w="2955" w:type="dxa"/>
            <w:shd w:val="clear" w:color="auto" w:fill="auto"/>
            <w:vAlign w:val="center"/>
          </w:tcPr>
          <w:p w14:paraId="25197333">
            <w:pPr>
              <w:snapToGrid w:val="0"/>
              <w:spacing w:after="0" w:line="0" w:lineRule="atLeast"/>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rPr>
              <w:t>外围设备及其他配件</w:t>
            </w:r>
          </w:p>
        </w:tc>
        <w:tc>
          <w:tcPr>
            <w:tcW w:w="1245" w:type="dxa"/>
            <w:shd w:val="clear" w:color="auto" w:fill="auto"/>
            <w:vAlign w:val="center"/>
          </w:tcPr>
          <w:p w14:paraId="0D79762B">
            <w:pPr>
              <w:snapToGrid w:val="0"/>
              <w:spacing w:after="0" w:line="0" w:lineRule="atLeast"/>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rPr>
              <w:t>1</w:t>
            </w:r>
          </w:p>
        </w:tc>
        <w:tc>
          <w:tcPr>
            <w:tcW w:w="1004" w:type="dxa"/>
            <w:shd w:val="clear" w:color="auto" w:fill="auto"/>
            <w:vAlign w:val="center"/>
          </w:tcPr>
          <w:p w14:paraId="21E5259A">
            <w:pPr>
              <w:pStyle w:val="5"/>
              <w:keepLines w:val="0"/>
              <w:pageBreakBefore w:val="0"/>
              <w:numPr>
                <w:ilvl w:val="0"/>
                <w:numId w:val="0"/>
              </w:numPr>
              <w:spacing w:after="0" w:line="360" w:lineRule="auto"/>
              <w:ind w:left="0" w:leftChars="0" w:firstLine="0" w:firstLineChars="0"/>
              <w:jc w:val="center"/>
              <w:rPr>
                <w:rFonts w:hint="eastAsia" w:ascii="仿宋" w:hAnsi="仿宋" w:eastAsia="仿宋" w:cs="仿宋"/>
                <w:b w:val="0"/>
                <w:bCs w:val="0"/>
                <w:color w:val="000000"/>
                <w:sz w:val="24"/>
                <w:szCs w:val="24"/>
                <w:highlight w:val="none"/>
                <w:vertAlign w:val="baseline"/>
                <w:lang w:val="en-US" w:eastAsia="zh-CN" w:bidi="ar-SA"/>
              </w:rPr>
            </w:pPr>
            <w:r>
              <w:rPr>
                <w:rFonts w:hint="eastAsia" w:ascii="仿宋" w:hAnsi="仿宋" w:eastAsia="仿宋" w:cs="仿宋"/>
                <w:sz w:val="24"/>
                <w:szCs w:val="24"/>
                <w:highlight w:val="none"/>
              </w:rPr>
              <w:t>套</w:t>
            </w:r>
          </w:p>
        </w:tc>
        <w:tc>
          <w:tcPr>
            <w:tcW w:w="3154" w:type="dxa"/>
            <w:shd w:val="clear" w:color="auto" w:fill="auto"/>
            <w:vAlign w:val="center"/>
          </w:tcPr>
          <w:p w14:paraId="5D27449B">
            <w:pPr>
              <w:snapToGrid w:val="0"/>
              <w:spacing w:after="0" w:line="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1.配套氮气发生器；</w:t>
            </w:r>
          </w:p>
          <w:p w14:paraId="2B9BF0D3">
            <w:pPr>
              <w:snapToGrid w:val="0"/>
              <w:spacing w:after="0" w:line="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2.不间断电源 UPS 10KV 2hr；</w:t>
            </w:r>
          </w:p>
          <w:p w14:paraId="3F695741">
            <w:pPr>
              <w:snapToGrid w:val="0"/>
              <w:spacing w:after="0" w:line="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3.打印机1台。</w:t>
            </w:r>
          </w:p>
          <w:p w14:paraId="21EF50E2">
            <w:pPr>
              <w:snapToGrid w:val="0"/>
              <w:spacing w:after="0" w:line="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4.超高效液相色谱柱5根及对应保护柱5根；</w:t>
            </w:r>
          </w:p>
          <w:p w14:paraId="4973E427">
            <w:pPr>
              <w:snapToGrid w:val="0"/>
              <w:spacing w:after="0" w:line="0" w:lineRule="atLeas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5.离子源喷雾针5根，机械泵油10瓶。</w:t>
            </w:r>
          </w:p>
        </w:tc>
      </w:tr>
    </w:tbl>
    <w:p w14:paraId="4AC99FC3">
      <w:pPr>
        <w:widowControl w:val="0"/>
        <w:numPr>
          <w:ilvl w:val="0"/>
          <w:numId w:val="0"/>
        </w:numPr>
        <w:spacing w:line="560" w:lineRule="exact"/>
        <w:jc w:val="both"/>
        <w:rPr>
          <w:rFonts w:hint="eastAsia" w:ascii="仿宋" w:hAnsi="仿宋" w:eastAsia="仿宋" w:cs="仿宋"/>
          <w:color w:val="000000"/>
          <w:sz w:val="24"/>
          <w:highlight w:val="none"/>
          <w:lang w:val="en-US" w:eastAsia="zh-CN"/>
        </w:rPr>
      </w:pPr>
    </w:p>
    <w:p w14:paraId="2041F6EC">
      <w:pPr>
        <w:numPr>
          <w:ilvl w:val="0"/>
          <w:numId w:val="0"/>
        </w:numPr>
        <w:spacing w:line="560" w:lineRule="exact"/>
        <w:ind w:firstLine="480" w:firstLineChars="0"/>
        <w:rPr>
          <w:rFonts w:hint="eastAsia" w:ascii="仿宋" w:hAnsi="仿宋" w:eastAsia="仿宋" w:cs="仿宋"/>
          <w:color w:val="000000"/>
          <w:sz w:val="24"/>
          <w:szCs w:val="21"/>
          <w:highlight w:val="none"/>
          <w:lang w:val="en-US" w:eastAsia="zh-CN" w:bidi="ar-SA"/>
        </w:rPr>
      </w:pPr>
      <w:bookmarkStart w:id="0" w:name="_Toc1926"/>
      <w:r>
        <w:rPr>
          <w:rFonts w:hint="eastAsia" w:ascii="仿宋" w:hAnsi="仿宋" w:eastAsia="仿宋" w:cs="仿宋"/>
          <w:color w:val="000000"/>
          <w:sz w:val="24"/>
          <w:szCs w:val="21"/>
          <w:highlight w:val="none"/>
          <w:lang w:val="en-US" w:eastAsia="zh-CN" w:bidi="ar-SA"/>
        </w:rPr>
        <w:t>（二）技术参数及要求</w:t>
      </w:r>
    </w:p>
    <w:bookmarkEnd w:id="0"/>
    <w:p w14:paraId="0EA26AC2">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1、工作条件</w:t>
      </w:r>
    </w:p>
    <w:p w14:paraId="07E63CF1">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电源电压:220 V±10%，温度:18℃～28℃，湿度:40%～70%，仪器可连续正常运行。工作条件及安全性要求符合中国及国际有关标准或规定。</w:t>
      </w:r>
    </w:p>
    <w:p w14:paraId="26BCA053">
      <w:pPr>
        <w:spacing w:line="560" w:lineRule="exact"/>
        <w:ind w:firstLine="48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2、质谱部分技术参数</w:t>
      </w:r>
    </w:p>
    <w:p w14:paraId="2D5F6187">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 离子源：</w:t>
      </w:r>
    </w:p>
    <w:p w14:paraId="3F2D358F">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2.1.1离子源类型：配备独立的电喷雾离子源（ESI源）和大气压化学电离源（APCI源）。</w:t>
      </w:r>
    </w:p>
    <w:p w14:paraId="446C8DA9">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2.1.2 离子源性能：</w:t>
      </w:r>
    </w:p>
    <w:p w14:paraId="138356A7">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2.1.2.1离子源设计：常温喷雾设计，先喷雾后加热，保障喷雾气流稳定性；另有辅助气加热聚焦，提高离子化效率。</w:t>
      </w:r>
    </w:p>
    <w:p w14:paraId="309FF85F">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2.1.2.2正交喷雾离子引入，提高系统抗污染能力。</w:t>
      </w:r>
    </w:p>
    <w:p w14:paraId="040814BB">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2.1.2.3 ESI源与APCI源，独立工作，互不干扰；更换离子源状态时，只需插拔式更换离子源喷针，方便快速，无需更换电缆数据线、无需卸真空系统。</w:t>
      </w:r>
    </w:p>
    <w:p w14:paraId="450FF099">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▲2.1.2.4离子源加热辅助气设计：先喷雾后加热，辅助气温度最高可加热至700℃及以上（提供软件设置700℃以上仪器运行的截图证明）。</w:t>
      </w:r>
    </w:p>
    <w:p w14:paraId="31CBD5AB">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▲2.1.2.5离子源最大耐受流速：100％水相，最大可耐受3ml/min流速，保证离子化效率和稳定性。保证离子化效率和稳定性（提供至少0.4ml/min、1ml/min、2ml/min、3ml/min高低流速的TIC响应强度一致的图谱证明）。</w:t>
      </w:r>
    </w:p>
    <w:p w14:paraId="52C74E03">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2.1.2.6离子源排废设计：采用负压式主动排放废气装置，最大流速10L/min，废气直接排到源腔体外，保障系统抗污染能力，背景噪音低。</w:t>
      </w:r>
    </w:p>
    <w:p w14:paraId="4308A3FA">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2.1.2.7离子源真空接口技术：带有冷却降温反吹气的一级锥孔结构，非二级锥孔设计，防止离子簇，保护热不稳定离子，降低源内裂解。</w:t>
      </w:r>
    </w:p>
    <w:p w14:paraId="3D879453">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▲2.1.2.8非管路引流（非毛细管）的离子通道设计，离子通道为无损配件，无需消耗更换，保证长期工作灵敏度（</w:t>
      </w:r>
      <w:r>
        <w:rPr>
          <w:rFonts w:hint="eastAsia" w:ascii="仿宋" w:hAnsi="仿宋" w:eastAsia="仿宋" w:cs="仿宋"/>
          <w:color w:val="000000"/>
          <w:sz w:val="24"/>
          <w:highlight w:val="none"/>
          <w:lang w:eastAsia="zh-CN"/>
        </w:rPr>
        <w:t>提供相关证明材料</w:t>
      </w:r>
      <w:r>
        <w:rPr>
          <w:rFonts w:hint="eastAsia" w:ascii="仿宋" w:hAnsi="仿宋" w:eastAsia="仿宋" w:cs="仿宋"/>
          <w:color w:val="000000"/>
          <w:sz w:val="24"/>
          <w:highlight w:val="none"/>
        </w:rPr>
        <w:t>）。</w:t>
      </w:r>
    </w:p>
    <w:p w14:paraId="1551FA37">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2.1.2.9 接口及离子传输技术:氮气反吹锥孔接口技术，反吹中性污染及溶剂，抗污染能力强。</w:t>
      </w:r>
    </w:p>
    <w:p w14:paraId="04F8BD17">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2.1.2.10离子源的清洁维护及ESI源与APCI源相互切换，无需卸除质谱真空系统，不需要停机，操作方便快捷。</w:t>
      </w:r>
    </w:p>
    <w:p w14:paraId="557ADC2B">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2.1.2.11离子源基质效应低，食品基质样品（如奶粉基质）中分析氯霉素残留，前处理采用液液萃取LLE 和不同的固相取柱，如HLB、MCX、MIP，基质效应偏差小于1.8%（提供相关实验数据证明材料）。</w:t>
      </w:r>
    </w:p>
    <w:p w14:paraId="3710A138">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 质量分析器：三重四极杆质量分析系统。</w:t>
      </w:r>
    </w:p>
    <w:p w14:paraId="44D4D3A6">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2.2.1质量分析器采用陶瓷镀金四极杆，无需控温即可保证质量准确度的稳定性。</w:t>
      </w:r>
    </w:p>
    <w:p w14:paraId="33C871DB">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2.2.2 Q0离子引入部分拥有高压离子聚焦技术（压力至少达8mtorr），以确保最佳的离子聚焦效果和离子传输效率。</w:t>
      </w:r>
    </w:p>
    <w:p w14:paraId="2BC49D46">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2.3 碰撞室设计:</w:t>
      </w:r>
    </w:p>
    <w:p w14:paraId="30D2618B">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▲2.3.1弯曲线性加速设计：≥90°弯曲线性加速高压聚焦的四极杆碰撞室设计（</w:t>
      </w:r>
      <w:r>
        <w:rPr>
          <w:rFonts w:hint="eastAsia" w:ascii="仿宋" w:hAnsi="仿宋" w:eastAsia="仿宋" w:cs="仿宋"/>
          <w:color w:val="000000"/>
          <w:sz w:val="24"/>
          <w:highlight w:val="none"/>
          <w:lang w:eastAsia="zh-CN"/>
        </w:rPr>
        <w:t>提供相关证明材料</w:t>
      </w:r>
      <w:r>
        <w:rPr>
          <w:rFonts w:hint="eastAsia" w:ascii="仿宋" w:hAnsi="仿宋" w:eastAsia="仿宋" w:cs="仿宋"/>
          <w:color w:val="000000"/>
          <w:sz w:val="24"/>
          <w:highlight w:val="none"/>
        </w:rPr>
        <w:t>）。</w:t>
      </w:r>
    </w:p>
    <w:p w14:paraId="11F4E68B">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▲2.3.2碰撞气由氮气发生器供应，无需额外气源，一台氮气发生器即可满足质谱需求（提供制造商承诺说明）。</w:t>
      </w:r>
    </w:p>
    <w:p w14:paraId="7B3D1C30">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2.3.3高通量技术：一次进样，可同时实现至少300种化合物的MRM定量分析和MSMS二级谱图定性筛查分析，有效消除“交叉污染”，保证高通量分析能力。</w:t>
      </w:r>
    </w:p>
    <w:p w14:paraId="726F5864">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2.4检测器：</w:t>
      </w:r>
    </w:p>
    <w:p w14:paraId="349EF761">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2.4.1采用电子倍增器，无正负离子歧视效应，长时间使用寿命，保障长期数据稳定性。</w:t>
      </w:r>
    </w:p>
    <w:p w14:paraId="5185123D">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2.4.2脉冲计数式检测器，保障低浓度检测限的数据重现性。</w:t>
      </w:r>
    </w:p>
    <w:p w14:paraId="79198B5E">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2.5 真空系统</w:t>
      </w:r>
    </w:p>
    <w:p w14:paraId="640493DA">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2.5.1机械泵和分子涡轮泵组成，离子源区和质量分析区形成差分抽气系统，自动断电保护功能。</w:t>
      </w:r>
    </w:p>
    <w:p w14:paraId="1EA8F208">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2.5.2日常维护：机械泵无需震气维护，仅需定期更换泵油。</w:t>
      </w:r>
    </w:p>
    <w:p w14:paraId="5259DC98">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2.6 调谐系统</w:t>
      </w:r>
    </w:p>
    <w:p w14:paraId="5C709C31">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2.6.1在正离子和负离子模式均可以进行灵敏度和分辨率的自动优化，进行质量校正。</w:t>
      </w:r>
    </w:p>
    <w:p w14:paraId="6724EFFF">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2.7质量范围：m/z2000amu以内，确保全质量高灵敏度。</w:t>
      </w:r>
    </w:p>
    <w:p w14:paraId="0F17EE92">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2.8质量稳定性：≤0.1amu/24小时 (全质量数范围内，四级杆无需加热保温设计)。</w:t>
      </w:r>
    </w:p>
    <w:p w14:paraId="2427FDDB">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2.9 质量准确度：优于0.01%（全质量范围）</w:t>
      </w:r>
    </w:p>
    <w:p w14:paraId="2D42717C">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2.10定量范围：6个数量级</w:t>
      </w:r>
    </w:p>
    <w:p w14:paraId="69085AFD">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2.11定量分析灵敏度要求：</w:t>
      </w:r>
    </w:p>
    <w:p w14:paraId="14A71369">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▲2.11.1标准品灵敏度：ESI+：1pg利血平柱上进样，S/N≥1500,000:1；</w:t>
      </w:r>
      <w:r>
        <w:rPr>
          <w:rFonts w:hint="default" w:ascii="仿宋" w:hAnsi="仿宋" w:eastAsia="仿宋" w:cs="仿宋"/>
          <w:color w:val="000000"/>
          <w:sz w:val="24"/>
          <w:highlight w:val="none"/>
        </w:rPr>
        <w:t xml:space="preserve"> </w:t>
      </w:r>
      <w:r>
        <w:rPr>
          <w:rFonts w:hint="eastAsia" w:ascii="仿宋" w:hAnsi="仿宋" w:eastAsia="仿宋" w:cs="仿宋"/>
          <w:color w:val="000000"/>
          <w:sz w:val="24"/>
          <w:highlight w:val="none"/>
        </w:rPr>
        <w:t>ESI-：1pg氯霉素柱上进样，S/N≥1500,000:1。定量限要求：</w:t>
      </w:r>
      <w:r>
        <w:rPr>
          <w:rFonts w:hint="default" w:ascii="仿宋" w:hAnsi="仿宋" w:eastAsia="仿宋" w:cs="仿宋"/>
          <w:color w:val="000000"/>
          <w:sz w:val="24"/>
          <w:highlight w:val="none"/>
        </w:rPr>
        <w:t>1fg</w:t>
      </w:r>
      <w:r>
        <w:rPr>
          <w:rFonts w:hint="eastAsia" w:ascii="仿宋" w:hAnsi="仿宋" w:eastAsia="仿宋" w:cs="仿宋"/>
          <w:color w:val="000000"/>
          <w:sz w:val="24"/>
          <w:highlight w:val="none"/>
        </w:rPr>
        <w:t>利血平柱上进样，IDL＜0.28fg；</w:t>
      </w:r>
      <w:r>
        <w:rPr>
          <w:rFonts w:hint="default" w:ascii="仿宋" w:hAnsi="仿宋" w:eastAsia="仿宋" w:cs="仿宋"/>
          <w:color w:val="000000"/>
          <w:sz w:val="24"/>
          <w:highlight w:val="none"/>
        </w:rPr>
        <w:t>1fg</w:t>
      </w:r>
      <w:r>
        <w:rPr>
          <w:rFonts w:hint="eastAsia" w:ascii="仿宋" w:hAnsi="仿宋" w:eastAsia="仿宋" w:cs="仿宋"/>
          <w:color w:val="000000"/>
          <w:sz w:val="24"/>
          <w:highlight w:val="none"/>
        </w:rPr>
        <w:t>氯霉素柱上进样，IDL＜0.28fg（</w:t>
      </w:r>
      <w:r>
        <w:rPr>
          <w:rFonts w:hint="eastAsia" w:ascii="仿宋" w:hAnsi="仿宋" w:eastAsia="仿宋" w:cs="仿宋"/>
          <w:color w:val="000000"/>
          <w:sz w:val="24"/>
          <w:highlight w:val="none"/>
          <w:lang w:eastAsia="zh-CN"/>
        </w:rPr>
        <w:t>提供相关证明材料</w:t>
      </w:r>
      <w:r>
        <w:rPr>
          <w:rFonts w:hint="eastAsia" w:ascii="仿宋" w:hAnsi="仿宋" w:eastAsia="仿宋" w:cs="仿宋"/>
          <w:color w:val="000000"/>
          <w:sz w:val="24"/>
          <w:highlight w:val="none"/>
        </w:rPr>
        <w:t>）。</w:t>
      </w:r>
      <w:bookmarkStart w:id="1" w:name="_Hlk176898530"/>
    </w:p>
    <w:p w14:paraId="1E48FC60">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2.11.2实际样品灵敏度：</w:t>
      </w:r>
      <w:bookmarkEnd w:id="1"/>
      <w:r>
        <w:rPr>
          <w:rFonts w:hint="eastAsia" w:ascii="仿宋" w:hAnsi="仿宋" w:eastAsia="仿宋" w:cs="仿宋"/>
          <w:color w:val="000000"/>
          <w:sz w:val="24"/>
          <w:highlight w:val="none"/>
        </w:rPr>
        <w:t>动物源性食品中雌二醇残留检测定量限≤0.015 ng/mL；饮用水中全氟化合物（HFPO-DA），进样5uL，检测限≤0.01ppb（</w:t>
      </w:r>
      <w:r>
        <w:rPr>
          <w:rFonts w:hint="eastAsia" w:ascii="仿宋" w:hAnsi="仿宋" w:eastAsia="仿宋" w:cs="仿宋"/>
          <w:color w:val="000000"/>
          <w:sz w:val="24"/>
          <w:highlight w:val="none"/>
          <w:lang w:eastAsia="zh-CN"/>
        </w:rPr>
        <w:t>提供相关证明材料</w:t>
      </w:r>
      <w:r>
        <w:rPr>
          <w:rFonts w:hint="eastAsia" w:ascii="仿宋" w:hAnsi="仿宋" w:eastAsia="仿宋" w:cs="仿宋"/>
          <w:color w:val="000000"/>
          <w:sz w:val="24"/>
          <w:highlight w:val="none"/>
        </w:rPr>
        <w:t>）。</w:t>
      </w:r>
    </w:p>
    <w:p w14:paraId="6ABE56E0">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2.12碰撞室最小离子驻留时间Dwell Time:1ms，且dwell time低至2ms时，灵敏度不损失。（提供多菌灵在2ms和10ms的驻留时间时，灵敏度不损失的数据证明）。</w:t>
      </w:r>
    </w:p>
    <w:p w14:paraId="62A5DC65">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▲2.13正负切换速度：≤5ms，可在一针进样同时正负检测超过500种真菌毒素（</w:t>
      </w:r>
      <w:r>
        <w:rPr>
          <w:rFonts w:hint="eastAsia" w:ascii="仿宋" w:hAnsi="仿宋" w:eastAsia="仿宋" w:cs="仿宋"/>
          <w:color w:val="000000"/>
          <w:sz w:val="24"/>
          <w:highlight w:val="none"/>
          <w:lang w:eastAsia="zh-CN"/>
        </w:rPr>
        <w:t>提供相关证明材料</w:t>
      </w:r>
      <w:r>
        <w:rPr>
          <w:rFonts w:hint="eastAsia" w:ascii="仿宋" w:hAnsi="仿宋" w:eastAsia="仿宋" w:cs="仿宋"/>
          <w:color w:val="000000"/>
          <w:sz w:val="24"/>
          <w:highlight w:val="none"/>
        </w:rPr>
        <w:t>）。</w:t>
      </w:r>
    </w:p>
    <w:p w14:paraId="1004F280">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2.14扫描功能：具有全扫描(Full Scan)、选择离子扫描(SIM)、选择反应串联质谱扫描(SRM)、子离子扫描（Product Ion Scan）、母离子扫描：（Precursor Ion Scan）、中性丢失扫描（Neutral Loss Scan）、多反应监测扫描（MRM）、正/负离子快速切换扫描。</w:t>
      </w:r>
    </w:p>
    <w:p w14:paraId="3474C1E2">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2.15系统满足《食品安全国家标准植物源性食品中352 种农药及其代谢物残留量的测定液相色谱-质谱联用法》（征求意见稿）检测要求，可实现正负切换，一针进样即可完成352种农药及其代谢物的筛查定量工作。（提供检测数据证明材料）</w:t>
      </w:r>
    </w:p>
    <w:p w14:paraId="7E3EBD56">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2.16</w:t>
      </w:r>
      <w:bookmarkStart w:id="2" w:name="_Hlk150899414"/>
      <w:r>
        <w:rPr>
          <w:rFonts w:hint="eastAsia" w:ascii="仿宋" w:hAnsi="仿宋" w:eastAsia="仿宋" w:cs="仿宋"/>
          <w:color w:val="000000"/>
          <w:sz w:val="24"/>
          <w:highlight w:val="none"/>
        </w:rPr>
        <w:t>系统满足《食品安全国家标准植物源性食品中草甘膦等4 种农药及其代谢物残留量的测定液相色谱-质谱联用法》</w:t>
      </w:r>
      <w:bookmarkEnd w:id="2"/>
      <w:r>
        <w:rPr>
          <w:rFonts w:hint="eastAsia" w:ascii="仿宋" w:hAnsi="仿宋" w:eastAsia="仿宋" w:cs="仿宋"/>
          <w:color w:val="000000"/>
          <w:sz w:val="24"/>
          <w:highlight w:val="none"/>
        </w:rPr>
        <w:t>（征求意见稿） 检测要求，采用纯水相，负离子扫描方式，检测结果满足标准要求。（提供检测数据证明材料）</w:t>
      </w:r>
    </w:p>
    <w:p w14:paraId="61460261">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2.17系统可拓展离子淌度模块：它基于分子形态提高选择性，增加待测化合物的分离特异性和准确性，提高同分异构体区分能力（提供公开发布的彩色样本以证明）。</w:t>
      </w:r>
    </w:p>
    <w:p w14:paraId="47F27BF6">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3、工作站与软件</w:t>
      </w:r>
    </w:p>
    <w:p w14:paraId="3C8A5F9D">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3.1软件系统基本特点：软件能控制液相色谱和质谱部分，自动实现仪器的功能配置、条件优化、数据采集、数据处理；自动定量功能；质谱数据解析和谱库建立和检索等功能。</w:t>
      </w:r>
    </w:p>
    <w:p w14:paraId="2382DC4F">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3.2软件智能特点：能提供“即时”定量数据质量监测，以确定QC或空白样品是否落在用户指定的误差范围内。能决定样品是否被注入或是需要进行更详细的检查，确保实验室的资源得到最充分利用，具有智能化的数据采集模式。</w:t>
      </w:r>
    </w:p>
    <w:p w14:paraId="3C2E10CB">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3.3电脑工作站：品牌主流电脑工作站（质谱分析软件、正版操作系统软件和文档处理软件）一台，8核处理器，32GB 内存，2TB 硬盘, 23英寸电脑显示器。</w:t>
      </w:r>
    </w:p>
    <w:p w14:paraId="41D68872">
      <w:pPr>
        <w:spacing w:line="560" w:lineRule="exact"/>
        <w:ind w:firstLine="48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4、超高效液相色谱仪</w:t>
      </w:r>
    </w:p>
    <w:p w14:paraId="5E3D46D8">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4.1系统要求:包含二元高压输液泵、脱气机、高压混合器、输液泵自动清洗单元、柱温箱、自动进样器、系统控制器（全系统耐压要求一致）；</w:t>
      </w:r>
    </w:p>
    <w:p w14:paraId="6FD3A69B">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4.2二元高压梯度系统</w:t>
      </w:r>
    </w:p>
    <w:p w14:paraId="25AB75DB">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4.2.1流速范围： 0.0001-10.0000mL/min</w:t>
      </w:r>
    </w:p>
    <w:p w14:paraId="3DD51B9D">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4.2.2流速准确度： ≤1%</w:t>
      </w:r>
    </w:p>
    <w:p w14:paraId="339133B2">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4.2.3流速精密度： ≤0.060%</w:t>
      </w:r>
    </w:p>
    <w:p w14:paraId="64790F73">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4.2.4梯度变化步进： 0.1%</w:t>
      </w:r>
    </w:p>
    <w:p w14:paraId="13529C2D">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4.2.5最高耐压：≥105Mpa</w:t>
      </w:r>
    </w:p>
    <w:p w14:paraId="633E2550">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4.2.6自动清洗组件：标配</w:t>
      </w:r>
    </w:p>
    <w:p w14:paraId="622A6C64">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4.2.7组成方式：两台独立高压送液泵构成的二元梯度系统</w:t>
      </w:r>
    </w:p>
    <w:p w14:paraId="1068FD00">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4.3脱气机</w:t>
      </w:r>
    </w:p>
    <w:p w14:paraId="26BEADDC">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4.3.1流路数目：5路</w:t>
      </w:r>
    </w:p>
    <w:p w14:paraId="7C20A7FC">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4.4可降温型自动进样器</w:t>
      </w:r>
    </w:p>
    <w:p w14:paraId="0BD9714D">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4.4.1样品盘容量：≥150位(1.5mL/2mL样品瓶)</w:t>
      </w:r>
    </w:p>
    <w:p w14:paraId="2FDC491A">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4.4.2进样周期：≤7秒，进样速度：≤5秒</w:t>
      </w:r>
    </w:p>
    <w:p w14:paraId="169B7623">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4.4.3交叉污染：＜0.0003%。</w:t>
      </w:r>
    </w:p>
    <w:p w14:paraId="650FE432">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4.4.4样品控温设定范围：4～45℃</w:t>
      </w:r>
    </w:p>
    <w:p w14:paraId="2DB236F2">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4.5可降温型柱温箱</w:t>
      </w:r>
    </w:p>
    <w:p w14:paraId="28F2A128">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4.5.1温度控制范围：10℃～100℃</w:t>
      </w:r>
    </w:p>
    <w:p w14:paraId="7F1D3AB1">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4.5.2双重漏液传感器：含气体和液体双重传感器</w:t>
      </w:r>
    </w:p>
    <w:p w14:paraId="1F619D3A">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4.5.3色谱柱容量：可容纳3根30cm色谱柱</w:t>
      </w:r>
    </w:p>
    <w:p w14:paraId="7F3C3776">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5.氮气发生器</w:t>
      </w:r>
    </w:p>
    <w:p w14:paraId="4428AAD2">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5.1采用超细化中空纤维膜分离技术，中空纤维膜具有自动再生功能无需更换。</w:t>
      </w:r>
    </w:p>
    <w:p w14:paraId="672E04FE">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5.2膜分离器采用螺旋卷式分离结构，提高氮气发生器分离效率。</w:t>
      </w:r>
    </w:p>
    <w:p w14:paraId="6B8261C8">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5.3提供三路气源分别作为雾化气、干燥气和碰撞气，气源包含一路氮气和两路零级空气。氮气流速：19L/min @80psi ，零级空气流速：26L/min@110psi，零级空气流速：25L/min @60psi。</w:t>
      </w:r>
    </w:p>
    <w:p w14:paraId="03EE29E0">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5.4氮气发生器仪器面板上设有三个压力表，实时显示三路气源的压力情况。</w:t>
      </w:r>
    </w:p>
    <w:p w14:paraId="62C91F5C">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5.5具有双压力保护装置：当氮气发生器内部压力异常时，系统具有自我保护功能。</w:t>
      </w:r>
    </w:p>
    <w:p w14:paraId="58C4F3F9">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5.6内置由两台空气压缩机集成的超空压系统，交替式给氮气发生器提供压缩气源。</w:t>
      </w:r>
    </w:p>
    <w:p w14:paraId="16D07259">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5.7具有智能待机模式，终端停止用气时空压机进入待机模式，具有断电保护和高温自动停机保护。</w:t>
      </w:r>
    </w:p>
    <w:p w14:paraId="55BF8078">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5.8内置两个对流扇，延长氮气发生器使用寿命。</w:t>
      </w:r>
    </w:p>
    <w:p w14:paraId="2EB06804">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5.9内置消音器及一体式真空隔音机箱，系统（包括主机和压缩机）噪音水平：≤54dB@1m。</w:t>
      </w:r>
    </w:p>
    <w:p w14:paraId="409334EC">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5.10无悬浮液体，无邻苯二甲酸酯，氮气压力露点低: ≤－40℃</w:t>
      </w:r>
    </w:p>
    <w:p w14:paraId="541E5081">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5.11空压机和氮气发生器连接方式：空压机内置式。</w:t>
      </w:r>
    </w:p>
    <w:p w14:paraId="69DA5AD4">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5.12氮气发生器内置ACT过滤塔，提高所产氮气纯度。</w:t>
      </w:r>
    </w:p>
    <w:p w14:paraId="77A55602">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6、仪器配置清单</w:t>
      </w:r>
    </w:p>
    <w:p w14:paraId="1CE18ED4">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6.1三重四极杆质谱仪1套（配备独立ESI、APCI离子源）；</w:t>
      </w:r>
    </w:p>
    <w:p w14:paraId="1431177C">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6.2 超高效液相色谱仪1套（含高压二元泵、在线脱气机、自动进样器和柱温箱）；</w:t>
      </w:r>
    </w:p>
    <w:p w14:paraId="3A5EB9ED">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6.3数据处理系统（包括电脑工作站与相关操作分析软件）1套；</w:t>
      </w:r>
    </w:p>
    <w:p w14:paraId="5F0F96AE">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6.4配套氮气发生器1台；</w:t>
      </w:r>
    </w:p>
    <w:p w14:paraId="74148C64">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6.5不间断电源10KV 1hr一套；</w:t>
      </w:r>
    </w:p>
    <w:p w14:paraId="2196C4F5">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6.6激光打印机1台。</w:t>
      </w:r>
    </w:p>
    <w:p w14:paraId="3E5E365F">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6.7 超高效液相色谱柱3根（用户指定）。</w:t>
      </w:r>
    </w:p>
    <w:p w14:paraId="11194282">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7、售后服务</w:t>
      </w:r>
    </w:p>
    <w:p w14:paraId="111928DB">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7.1 </w:t>
      </w:r>
      <w:r>
        <w:rPr>
          <w:rFonts w:hint="eastAsia" w:ascii="仿宋" w:hAnsi="仿宋" w:eastAsia="仿宋" w:cs="仿宋"/>
          <w:color w:val="000000"/>
          <w:sz w:val="24"/>
          <w:highlight w:val="none"/>
          <w:lang w:eastAsia="zh-CN"/>
        </w:rPr>
        <w:t>售后服务期</w:t>
      </w:r>
      <w:r>
        <w:rPr>
          <w:rFonts w:hint="eastAsia" w:ascii="仿宋" w:hAnsi="仿宋" w:eastAsia="仿宋" w:cs="仿宋"/>
          <w:color w:val="000000"/>
          <w:sz w:val="24"/>
          <w:highlight w:val="none"/>
        </w:rPr>
        <w:t>1年，</w:t>
      </w:r>
      <w:r>
        <w:rPr>
          <w:rFonts w:hint="eastAsia" w:ascii="仿宋" w:hAnsi="仿宋" w:eastAsia="仿宋" w:cs="仿宋"/>
          <w:color w:val="000000"/>
          <w:sz w:val="24"/>
          <w:highlight w:val="none"/>
          <w:lang w:eastAsia="zh-CN"/>
        </w:rPr>
        <w:t>售后服务期</w:t>
      </w:r>
      <w:r>
        <w:rPr>
          <w:rFonts w:hint="eastAsia" w:ascii="仿宋" w:hAnsi="仿宋" w:eastAsia="仿宋" w:cs="仿宋"/>
          <w:color w:val="000000"/>
          <w:sz w:val="24"/>
          <w:highlight w:val="none"/>
        </w:rPr>
        <w:t>内</w:t>
      </w:r>
      <w:r>
        <w:rPr>
          <w:rFonts w:hint="eastAsia" w:ascii="仿宋" w:hAnsi="仿宋" w:eastAsia="仿宋" w:cs="仿宋"/>
          <w:color w:val="000000"/>
          <w:sz w:val="24"/>
          <w:highlight w:val="none"/>
          <w:lang w:eastAsia="zh-CN"/>
        </w:rPr>
        <w:t>保养</w:t>
      </w:r>
      <w:r>
        <w:rPr>
          <w:rFonts w:hint="eastAsia" w:ascii="仿宋" w:hAnsi="仿宋" w:eastAsia="仿宋" w:cs="仿宋"/>
          <w:color w:val="000000"/>
          <w:sz w:val="24"/>
          <w:highlight w:val="none"/>
        </w:rPr>
        <w:t>一次。</w:t>
      </w:r>
    </w:p>
    <w:p w14:paraId="43A1373D">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7.2 培训：安装调试合格后，制造商为买方操作人员做现场基本操作培训；制造商在国内设有培训中心，为用户提供2人次的技术培训，保证能够正常使用仪器。</w:t>
      </w:r>
    </w:p>
    <w:p w14:paraId="4C0FA191">
      <w:pPr>
        <w:spacing w:line="560" w:lineRule="exact"/>
        <w:ind w:firstLine="482"/>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注：投标单位必须保证全部投标资料的真实性，如有虚假或对招标文件所要求说明的情况故意隐瞒或虚报，如技术参数中必须响应项目未响应或出现负偏离的，视为不实质性响应招标文件，为无效投标。已中标的将取消中标资格，并按《中华人民共和国政府采购法》等法律法规处理。</w:t>
      </w:r>
    </w:p>
    <w:p w14:paraId="7215870E">
      <w:pPr>
        <w:spacing w:line="560" w:lineRule="exact"/>
        <w:ind w:firstLine="482"/>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中标后，采购人有权验看中标人检测报告原件，同时与检测机构核对报告内容，原件与投标文件不符的或与检测机构核对报告内容不符的，按提供虚假材料谋取中标交于财政部门，按相关法律程序处理。不提供原件验看者按照原件与投标文件不符处理，采购人有权不履行合同签订事宜，中标人不得有异议。</w:t>
      </w:r>
    </w:p>
    <w:p w14:paraId="3AFF93C2">
      <w:pPr>
        <w:spacing w:line="560" w:lineRule="exact"/>
        <w:ind w:firstLine="48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三</w:t>
      </w:r>
      <w:r>
        <w:rPr>
          <w:rFonts w:hint="eastAsia" w:ascii="仿宋" w:hAnsi="仿宋" w:eastAsia="仿宋" w:cs="仿宋"/>
          <w:color w:val="000000"/>
          <w:sz w:val="24"/>
          <w:highlight w:val="none"/>
          <w:lang w:eastAsia="zh-CN"/>
        </w:rPr>
        <w:t>）仪器功能</w:t>
      </w:r>
    </w:p>
    <w:p w14:paraId="6AA7DA19">
      <w:pPr>
        <w:spacing w:line="560" w:lineRule="exact"/>
        <w:ind w:firstLine="48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主要对目标化合物进行高灵敏度、高选择性的筛查和对痕量化合物的准确定量。能够满足食品、水质中痕量和超痕量农药残留、兽药残留、生物毒素、激素、非法添加、消毒副产物、全氟化合物、持久性有机污染物等样品的筛查和定量分析，或其他有毒物质的筛查和定量分析，并符合国际、国内相关标准和法规的要求。</w:t>
      </w:r>
    </w:p>
    <w:p w14:paraId="0C362733">
      <w:pPr>
        <w:spacing w:line="560" w:lineRule="exact"/>
        <w:ind w:firstLine="482"/>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五、其他要求</w:t>
      </w:r>
    </w:p>
    <w:p w14:paraId="686ACECA">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1、供货要求</w:t>
      </w:r>
    </w:p>
    <w:p w14:paraId="0593D2B3">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方应严格按照标书的有关规定提供合格商品，保证货物为全新、未使用的原装正品，货物上均有合格证，包括品牌的有关标志；一旦发生质量问题，中标人需在2小时内响应，并保证在接到通知24小时内到现场进行更换或退货，费用由中标人负责。如中标人在接到通知工作日的24小时内没有答复或处理问题，则视为中标人承认质量问题并承担由此而发生的一切费用。</w:t>
      </w:r>
    </w:p>
    <w:p w14:paraId="5E114312">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2、质量保证</w:t>
      </w:r>
    </w:p>
    <w:p w14:paraId="57C9F2A3">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（1）投标人应保证提供的货物与服务项目经过正确安装、正常使用和保养条件下，在其使用寿命内应具有满意的性能。货物最终验收后，在</w:t>
      </w:r>
      <w:r>
        <w:rPr>
          <w:rFonts w:hint="eastAsia" w:ascii="仿宋" w:hAnsi="仿宋" w:eastAsia="仿宋" w:cs="仿宋"/>
          <w:color w:val="000000"/>
          <w:sz w:val="24"/>
          <w:highlight w:val="none"/>
          <w:lang w:eastAsia="zh-CN"/>
        </w:rPr>
        <w:t>售后服务期</w:t>
      </w:r>
      <w:r>
        <w:rPr>
          <w:rFonts w:hint="eastAsia" w:ascii="仿宋" w:hAnsi="仿宋" w:eastAsia="仿宋" w:cs="仿宋"/>
          <w:color w:val="000000"/>
          <w:sz w:val="24"/>
          <w:highlight w:val="none"/>
        </w:rPr>
        <w:t>内，投标人应对由于设计、工艺或材料的缺陷以及其他由于生产厂家或投标人的原因而发生的任何不足或故障负责，费用由投标人负担。</w:t>
      </w:r>
    </w:p>
    <w:p w14:paraId="584142B1">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（2）根据当地法定检验机构的检验结果或者在</w:t>
      </w:r>
      <w:r>
        <w:rPr>
          <w:rFonts w:hint="eastAsia" w:ascii="仿宋" w:hAnsi="仿宋" w:eastAsia="仿宋" w:cs="仿宋"/>
          <w:color w:val="000000"/>
          <w:sz w:val="24"/>
          <w:highlight w:val="none"/>
          <w:lang w:eastAsia="zh-CN"/>
        </w:rPr>
        <w:t>售后服务期</w:t>
      </w:r>
      <w:r>
        <w:rPr>
          <w:rFonts w:hint="eastAsia" w:ascii="仿宋" w:hAnsi="仿宋" w:eastAsia="仿宋" w:cs="仿宋"/>
          <w:color w:val="000000"/>
          <w:sz w:val="24"/>
          <w:highlight w:val="none"/>
        </w:rPr>
        <w:t>内，如果货物与服务项目的内在质量或规格型号与合同不符，或证明货物是有缺陷的，包括潜在的缺陷或使用不符合要求的材料等，采购人有权向投标人发出索赔通知。</w:t>
      </w:r>
    </w:p>
    <w:p w14:paraId="4A62527C">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（3）投标人在收到通知后，应在合同所附服务承诺约定的时间内维修、更换有缺陷的货物或部件。</w:t>
      </w:r>
    </w:p>
    <w:p w14:paraId="2D60AEC2">
      <w:pPr>
        <w:spacing w:line="560" w:lineRule="exact"/>
        <w:ind w:firstLine="48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（4）如果投标人在收到通知后，在合同所附服务承诺约定的时间内没有弥补缺陷，采购人可采取必要的补救措施，但风险和费用将由投标人承担</w:t>
      </w:r>
      <w:r>
        <w:rPr>
          <w:rFonts w:hint="eastAsia" w:ascii="仿宋" w:hAnsi="仿宋" w:eastAsia="仿宋" w:cs="仿宋"/>
          <w:color w:val="000000"/>
          <w:sz w:val="24"/>
          <w:highlight w:val="none"/>
          <w:lang w:eastAsia="zh-CN"/>
        </w:rPr>
        <w:t>。</w:t>
      </w:r>
    </w:p>
    <w:p w14:paraId="0EBF06BB">
      <w:pPr>
        <w:spacing w:line="560" w:lineRule="exact"/>
        <w:ind w:firstLine="48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3、培训要求</w:t>
      </w:r>
    </w:p>
    <w:p w14:paraId="18A224FF">
      <w:pPr>
        <w:spacing w:line="560" w:lineRule="exact"/>
        <w:ind w:firstLine="48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 xml:space="preserve">（1）中标人须派遣有设备操作、管理、维护经验的工程师，到采购人单位对采购单位的人员进行优质的培训服务。对设备的使用、操作、维护进行培训，并提供安装使用维护说明书，以确保使用单位能够对设备有足够的了解，能够独立进行日常操作、管理和维护。 </w:t>
      </w:r>
    </w:p>
    <w:p w14:paraId="3EEAD2A6">
      <w:pPr>
        <w:spacing w:line="560" w:lineRule="exact"/>
        <w:ind w:firstLine="48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 xml:space="preserve">（2）中标人必须为所有被培训人员提供培训用文字资料和讲义等相关用品。所有的资料必须是中文书写。上述资料的费用包含在投标报价内。 </w:t>
      </w:r>
    </w:p>
    <w:p w14:paraId="289FD63B">
      <w:pPr>
        <w:spacing w:line="560" w:lineRule="exact"/>
        <w:ind w:firstLine="48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（3）所有的培训费用包括差旅、食宿、教材、资料等由中标人负责，均计入投标报价中。</w:t>
      </w:r>
    </w:p>
    <w:p w14:paraId="684C90F0">
      <w:pPr>
        <w:spacing w:line="560" w:lineRule="exact"/>
        <w:ind w:firstLine="48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4、售后服务</w:t>
      </w:r>
    </w:p>
    <w:p w14:paraId="7A2EEC92">
      <w:pPr>
        <w:spacing w:line="560" w:lineRule="exact"/>
        <w:ind w:firstLine="48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（1）验收通过之日起对设备保修壹年。售后服务期内，投标人对产品质量实行三包，因设备配置或制造质量问题而引起的故障，投标人应在24小时内立即予以维修或更换，由此引起的一切费用由投标人承担。</w:t>
      </w:r>
    </w:p>
    <w:p w14:paraId="6C4BD423">
      <w:pPr>
        <w:spacing w:line="560" w:lineRule="exact"/>
        <w:ind w:firstLine="48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（2）投标人需提供详细技术服务方案，包括但不限于：设备安装建设规范、设备工作原理、设备部件结构组成、设备操作手册、设备运行维护手册、设备软件使用手册等。</w:t>
      </w:r>
    </w:p>
    <w:p w14:paraId="13599E3F">
      <w:pPr>
        <w:spacing w:line="560" w:lineRule="exact"/>
        <w:ind w:firstLine="48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（3）技术支持响应时间。在售后服务期内，投标人服务时间应为 7×24小时，当投标产品或软件遭到损坏或出现故障时，要在用户报修之时起2小时内做出响应，并在24小时内到达现场，开展维修维护工作，视情况双方协商设备恢复正常运行时限。</w:t>
      </w:r>
    </w:p>
    <w:p w14:paraId="28F71BF9">
      <w:pPr>
        <w:spacing w:line="560" w:lineRule="exact"/>
        <w:ind w:firstLine="48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（4）售后服务期过后，投标人仍有义务提供优惠的技术服务（包括提供设备维护、备件等）。</w:t>
      </w:r>
    </w:p>
    <w:p w14:paraId="08A3D0F1">
      <w:pPr>
        <w:spacing w:line="560" w:lineRule="exact"/>
        <w:ind w:firstLine="48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（5）中标人未在上述规定时间内履行售后服务义务的，采购人可选择是否委托第三方代为处理，由此产生的费用及损失均由中标人承担。每出现一次，由中标人向采购人支付合同总额 2%违约金（可在应付款项中扣除）。</w:t>
      </w:r>
    </w:p>
    <w:p w14:paraId="12CD09BB">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验收要求</w:t>
      </w:r>
    </w:p>
    <w:p w14:paraId="2A34F5B7">
      <w:pPr>
        <w:spacing w:line="560" w:lineRule="exact"/>
        <w:ind w:firstLine="48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lang w:eastAsia="zh-CN"/>
        </w:rPr>
        <w:t>）采购人依法组织履约验收工作。</w:t>
      </w:r>
    </w:p>
    <w:p w14:paraId="730C3986">
      <w:pPr>
        <w:spacing w:line="560" w:lineRule="exact"/>
        <w:ind w:firstLine="48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lang w:eastAsia="zh-CN"/>
        </w:rPr>
        <w:t>）采购人在组织履约验收前，将根据项目特点制定验收方案，明确履约验收的时间、方式、程序等内容，并可根据项目特点对服务期内的服务实施情况进行分期考核，综合考核情况和服务效果进行验收。中标人应根据验收方案内容做好相应配合工作。</w:t>
      </w:r>
    </w:p>
    <w:p w14:paraId="79AA42B1">
      <w:pPr>
        <w:spacing w:line="560" w:lineRule="exact"/>
        <w:ind w:firstLine="48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lang w:eastAsia="zh-CN"/>
        </w:rPr>
        <w:t>）对于实际使用人和采购人分离的项目，采购人邀请实际使用人参与验收。</w:t>
      </w:r>
    </w:p>
    <w:p w14:paraId="29247E87">
      <w:pPr>
        <w:spacing w:line="560" w:lineRule="exact"/>
        <w:ind w:firstLine="48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lang w:eastAsia="zh-CN"/>
        </w:rPr>
        <w:t>） 如有必要，采购人邀请参加本项目的其他供应商或第三方专业机构及专家参与验收，相关意见将作为验收书的参考资料。</w:t>
      </w:r>
    </w:p>
    <w:p w14:paraId="4FC59253">
      <w:pPr>
        <w:spacing w:line="560" w:lineRule="exact"/>
        <w:ind w:firstLine="48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lang w:eastAsia="zh-CN"/>
        </w:rPr>
        <w:t>）采购人成立验收小组，按照采购合同的约定对中标人的履约情况进行验收。验收时间、验收标准见招标文件验收内容。验收时，采购人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3147AB9F">
      <w:pPr>
        <w:spacing w:line="560" w:lineRule="exact"/>
        <w:ind w:firstLine="48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lang w:eastAsia="zh-CN"/>
        </w:rPr>
        <w:t>）验收合格的项目，采购人根据采购合同的约定及时向中标人支付合同款项、退还履约保证金。验收不合格的项目，采购人依法及时处理。采购合同的履行、违约责任和解决争议的方式等适用《民法典》。中标人在履约过程中有政府采购法律法规规定的违法违规情形的，采购人将及时报告本级财政部门。</w:t>
      </w:r>
    </w:p>
    <w:p w14:paraId="78FC104A">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投标人货物送达后，采购方对其数量、品种、规格、运输保存方式等进行检查验收，如不合格应无条件退货或换货。</w:t>
      </w:r>
    </w:p>
    <w:p w14:paraId="34A8B11E">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若因中标人原因造成无法验收通过的，采购人将拒绝付款，并追究中标人的违约责任。</w:t>
      </w:r>
    </w:p>
    <w:p w14:paraId="423759D3">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9</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合同履行期满，中标人向采购人提交项目验收技术资料以及终验申请单，采购人收到申请后3个工作日内组织终验且验收无问题后签署终验单。</w:t>
      </w:r>
    </w:p>
    <w:p w14:paraId="6A50E3EF">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、节能、环保产品政策</w:t>
      </w:r>
    </w:p>
    <w:p w14:paraId="6BB3F289">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对照财库〔2019〕9号、财库〔2019〕19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14:paraId="0B4DA73E">
      <w:pPr>
        <w:numPr>
          <w:ilvl w:val="0"/>
          <w:numId w:val="0"/>
        </w:num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szCs w:val="21"/>
          <w:highlight w:val="none"/>
          <w:lang w:val="en-US" w:eastAsia="zh-CN" w:bidi="ar-SA"/>
        </w:rPr>
        <w:t>7、</w:t>
      </w:r>
      <w:r>
        <w:rPr>
          <w:rFonts w:hint="eastAsia" w:ascii="仿宋" w:hAnsi="仿宋" w:eastAsia="仿宋" w:cs="仿宋"/>
          <w:color w:val="000000"/>
          <w:sz w:val="24"/>
          <w:szCs w:val="24"/>
          <w:highlight w:val="none"/>
        </w:rPr>
        <w:t>商品包装、快递包装政府采购需求标准（试行）</w:t>
      </w:r>
    </w:p>
    <w:p w14:paraId="056BB0E1">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w:t>
      </w:r>
    </w:p>
    <w:p w14:paraId="05205776">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rPr>
        <w:t>、采购本国货物、工程和服务</w:t>
      </w:r>
    </w:p>
    <w:p w14:paraId="431BABF0">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政府采购应当采购本国货物、工程和服务，但有《中华人民共和国政府采购法》第十条规定情形的除外。</w:t>
      </w:r>
    </w:p>
    <w:p w14:paraId="7EAFBEEB">
      <w:pPr>
        <w:numPr>
          <w:ilvl w:val="0"/>
          <w:numId w:val="0"/>
        </w:numPr>
        <w:spacing w:line="560" w:lineRule="exact"/>
        <w:ind w:firstLine="48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szCs w:val="21"/>
          <w:highlight w:val="none"/>
          <w:lang w:val="en-US" w:eastAsia="zh-CN" w:bidi="ar-SA"/>
        </w:rPr>
        <w:t>9、</w:t>
      </w:r>
      <w:r>
        <w:rPr>
          <w:rFonts w:hint="eastAsia" w:ascii="仿宋" w:hAnsi="仿宋" w:eastAsia="仿宋" w:cs="仿宋"/>
          <w:color w:val="000000"/>
          <w:sz w:val="24"/>
          <w:highlight w:val="none"/>
          <w:lang w:val="en-US" w:eastAsia="zh-CN"/>
        </w:rPr>
        <w:t>人员配备</w:t>
      </w:r>
    </w:p>
    <w:p w14:paraId="3664EC16">
      <w:pPr>
        <w:spacing w:line="560" w:lineRule="exact"/>
        <w:ind w:firstLine="48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投标人须组建专业的技术服务团队，人员配置满足本次采购需求，其中包含项目组负责人1名，项目组其他成员不少于3名。</w:t>
      </w:r>
    </w:p>
    <w:p w14:paraId="41EC8632">
      <w:pPr>
        <w:spacing w:line="560" w:lineRule="exact"/>
        <w:ind w:firstLine="482"/>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六、项目实施要求</w:t>
      </w:r>
    </w:p>
    <w:p w14:paraId="660E1C2A">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1、项目实施方案</w:t>
      </w:r>
      <w:bookmarkStart w:id="3" w:name="_GoBack"/>
      <w:bookmarkEnd w:id="3"/>
    </w:p>
    <w:p w14:paraId="44FFA676">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针对本项目提供项目实施方案，包括但不限于项目实施方案、供货期管理、完整性要求、风险预防及控制措施突发事件处置方案。</w:t>
      </w:r>
    </w:p>
    <w:p w14:paraId="2C02CEC6">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2、培训方案</w:t>
      </w:r>
    </w:p>
    <w:p w14:paraId="1388BDCF">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投标人针对本项目提供培训方案，包括但不限于完整、可靠、操作性强的培训方案、培训内容、培训时间、培训地点、培训目标、培训人数、培训方法和培训师资等。</w:t>
      </w:r>
    </w:p>
    <w:p w14:paraId="318D9242">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、质量保障措施</w:t>
      </w:r>
    </w:p>
    <w:p w14:paraId="330B529C">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针对本项目提供质量保障措施，包括但不限于提供所投产品的知名度、市场占有率及质量保障措施。</w:t>
      </w:r>
    </w:p>
    <w:p w14:paraId="4DCEE07A">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、人员配备</w:t>
      </w:r>
    </w:p>
    <w:p w14:paraId="07561A1E">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针对本项目提供人员配备，包括但不限于拟投入本项目人员管理及人员配备情况和使用计划（含人员安排、管理机构健全程度、服务人员素质等内容）。</w:t>
      </w:r>
    </w:p>
    <w:p w14:paraId="07A2C42C">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、售后服务</w:t>
      </w:r>
    </w:p>
    <w:p w14:paraId="47F576B9">
      <w:pPr>
        <w:spacing w:line="56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针对本项目提供售后服务，包括但不限于响应时间、上门时间、服务人员的技术水平和应急处理方案等。</w:t>
      </w:r>
    </w:p>
    <w:p w14:paraId="7AA5E917">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8371C8"/>
    <w:rsid w:val="6793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1"/>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标题 11"/>
    <w:next w:val="1"/>
    <w:qFormat/>
    <w:uiPriority w:val="0"/>
    <w:pPr>
      <w:keepNext/>
      <w:widowControl w:val="0"/>
      <w:jc w:val="center"/>
      <w:outlineLvl w:val="0"/>
    </w:pPr>
    <w:rPr>
      <w:rFonts w:hint="default" w:ascii="楷体_GB2312" w:hAnsi="Times New Roman" w:eastAsia="楷体_GB2312" w:cs="Times New Roman"/>
      <w:sz w:val="28"/>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2025-05-16T07:42:51Z</dcterms:created>
  <dc:creator>Administrator</dc:creator>
  <cp:lastModifiedBy>RERE</cp:lastModifiedBy>
  <dcterms:modified xsi:type="dcterms:W3CDTF">2025-05-16T07:48:11Z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eyJoZGlkIjoiNTgyZWE5NjlhY2JhYTYzNThiOGEyOWEzNTI5ZWY3N2MiLCJ1c2VySWQiOiIyNzA1NTgyNDQifQ==</vt:lpwstr>
  </property>
  <property fmtid="{D5CDD505-2E9C-101B-9397-08002B2CF9AE}" pid="4" name="ICV">
    <vt:lpwstr>D3034C573F4146CDAFDBB67654F2D822_12</vt:lpwstr>
  </property>
</Properties>
</file>